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ook w:firstColumn="1" w:firstRow="1" w:lastColumn="0" w:lastRow="0" w:noHBand="0" w:noVBand="1" w:val="04A0"/>
        <w:tblLayout w:type="fixed"/>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7056"/>
        <w:gridCol w:w="2303"/>
      </w:tblGrid>
      <w:tr>
        <w:tc>
          <w:tcPr>
            <w:tcW w:type="dxa" w:w="4680"/>
          </w:tcPr>
          <w:p>
            <w:pPr>
              <w:spacing w:after="0"/>
            </w:pPr>
            <w:r>
              <w:rPr>
                <w:rFonts w:ascii="Inter" w:hAnsi="Inter"/>
                <w:b/>
                <w:color w:val="FFFFFF"/>
                <w:sz w:val="18"/>
                <w:shd w:val="clear" w:color="auto" w:fill="C8392F"/>
              </w:rPr>
              <w:t xml:space="preserve"> CPP </w:t>
            </w:r>
            <w:r>
              <w:rPr>
                <w:rFonts w:ascii="Inter" w:hAnsi="Inter"/>
                <w:b/>
                <w:color w:val="0D1B2A"/>
                <w:sz w:val="21"/>
              </w:rPr>
              <w:t xml:space="preserve">  Critical Path Partners</w:t>
            </w:r>
            <w:r>
              <w:rPr>
                <w:rFonts w:ascii="Inter" w:hAnsi="Inter"/>
                <w:color w:val="33455A"/>
                <w:sz w:val="18"/>
              </w:rPr>
              <w:t xml:space="preserve">   Forensic schedule analysis</w:t>
            </w:r>
          </w:p>
        </w:tc>
        <w:tc>
          <w:tcPr>
            <w:tcW w:type="dxa" w:w="4680"/>
          </w:tcPr>
          <w:p>
            <w:pPr>
              <w:spacing w:after="0"/>
              <w:jc w:val="right"/>
            </w:pPr>
            <w:r>
              <w:rPr>
                <w:rFonts w:ascii="Consolas" w:hAnsi="Consolas"/>
                <w:color w:val="33455A"/>
                <w:sz w:val="16"/>
              </w:rPr>
              <w:t>CPP-EOT-DE-01 / CCDC 2 - 2020, Contract No. OCC-B2-2025 (Demo Data)</w:t>
            </w:r>
          </w:p>
        </w:tc>
      </w:tr>
    </w:tbl>
    <w:p>
      <w:pPr>
        <w:spacing w:before="60" w:after="200"/>
        <w:pBdr>
          <w:bottom w:val="single" w:sz="8" w:space="4" w:color="0F2540"/>
        </w:pBdr>
      </w:pPr>
    </w:p>
    <w:tbl>
      <w:tblPr>
        <w:tblW w:type="auto" w:w="0"/>
        <w:jc w:val="center"/>
        <w:tblLook w:firstColumn="1" w:firstRow="1" w:lastColumn="0" w:lastRow="0" w:noHBand="0" w:noVBand="1" w:val="04A0"/>
        <w:tblLayout w:type="fixed"/>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6912"/>
        <w:gridCol w:w="2448"/>
      </w:tblGrid>
      <w:tr>
        <w:tc>
          <w:tcPr>
            <w:tcW w:type="dxa" w:w="4680"/>
          </w:tcPr>
          <w:p>
            <w:pPr>
              <w:spacing w:after="40"/>
            </w:pPr>
            <w:r>
              <w:rPr>
                <w:rFonts w:ascii="Inter" w:hAnsi="Inter"/>
                <w:b/>
                <w:color w:val="0D1B2A"/>
                <w:sz w:val="44"/>
              </w:rPr>
              <w:t>Exhibit DE-01 — Fire-spray application held for owner inspector availability</w:t>
            </w:r>
          </w:p>
          <w:p>
            <w:pPr>
              <w:spacing w:after="80"/>
            </w:pPr>
            <w:r>
              <w:rPr>
                <w:rFonts w:ascii="Inter" w:hAnsi="Inter"/>
                <w:color w:val="33455A"/>
                <w:sz w:val="23"/>
              </w:rPr>
              <w:t>Delay Event Analysis</w:t>
            </w:r>
          </w:p>
          <w:p>
            <w:pPr>
              <w:spacing w:before="80" w:after="0"/>
            </w:pPr>
            <w:r>
              <w:rPr>
                <w:rFonts w:ascii="Inter" w:hAnsi="Inter"/>
                <w:color w:val="33455A"/>
                <w:sz w:val="17"/>
              </w:rPr>
              <w:t xml:space="preserve">Project  </w:t>
            </w:r>
            <w:r>
              <w:rPr>
                <w:rFonts w:ascii="Inter" w:hAnsi="Inter"/>
                <w:b/>
                <w:color w:val="0D1B2A"/>
                <w:sz w:val="19"/>
              </w:rPr>
              <w:t>Ontario Community College - B2 (Demo Data)</w:t>
            </w:r>
            <w:r>
              <w:rPr>
                <w:rFonts w:ascii="Inter" w:hAnsi="Inter"/>
              </w:rPr>
              <w:t xml:space="preserve">    </w:t>
            </w:r>
            <w:r>
              <w:rPr>
                <w:rFonts w:ascii="Inter" w:hAnsi="Inter"/>
                <w:color w:val="33455A"/>
                <w:sz w:val="17"/>
              </w:rPr>
              <w:t xml:space="preserve">Window  </w:t>
            </w:r>
            <w:r>
              <w:rPr>
                <w:rFonts w:ascii="Inter" w:hAnsi="Inter"/>
                <w:b/>
                <w:color w:val="0D1B2A"/>
                <w:sz w:val="19"/>
              </w:rPr>
              <w:t>Baseline → Current</w:t>
            </w:r>
            <w:r>
              <w:rPr>
                <w:rFonts w:ascii="Inter" w:hAnsi="Inter"/>
              </w:rPr>
              <w:t xml:space="preserve">    </w:t>
            </w:r>
            <w:r>
              <w:rPr>
                <w:rFonts w:ascii="Inter" w:hAnsi="Inter"/>
                <w:color w:val="33455A"/>
                <w:sz w:val="17"/>
              </w:rPr>
              <w:t xml:space="preserve">Net Claim  </w:t>
            </w:r>
            <w:r>
              <w:rPr>
                <w:rFonts w:ascii="Inter" w:hAnsi="Inter"/>
                <w:b/>
                <w:color w:val="0D1B2A"/>
                <w:sz w:val="19"/>
              </w:rPr>
              <w:t>9 wd</w:t>
            </w:r>
          </w:p>
        </w:tc>
        <w:tc>
          <w:tcPr>
            <w:tcW w:type="dxa" w:w="4680"/>
            <w:tcBorders>
              <w:top w:val="single" w:sz="16" w:space="0" w:color="0F2540"/>
            </w:tcBorders>
          </w:tcPr>
          <w:p>
            <w:pPr>
              <w:spacing w:before="80" w:after="0"/>
              <w:jc w:val="right"/>
            </w:pPr>
            <w:r>
              <w:rPr>
                <w:rFonts w:ascii="Inter" w:hAnsi="Inter"/>
                <w:color w:val="33455A"/>
                <w:sz w:val="17"/>
              </w:rPr>
              <w:t>Overall</w:t>
            </w:r>
          </w:p>
          <w:p>
            <w:pPr>
              <w:spacing w:after="0"/>
              <w:jc w:val="right"/>
            </w:pPr>
            <w:r>
              <w:rPr>
                <w:rFonts w:ascii="Inter" w:hAnsi="Inter"/>
                <w:b/>
                <w:color w:val="0D1B2A"/>
                <w:sz w:val="60"/>
              </w:rPr>
              <w:t>9 wd</w:t>
            </w:r>
          </w:p>
        </w:tc>
      </w:tr>
    </w:tbl>
    <w:p>
      <w:pPr>
        <w:spacing w:after="80"/>
      </w:pPr>
    </w:p>
    <w:tbl>
      <w:tblPr>
        <w:tblW w:type="auto" w:w="0"/>
        <w:jc w:val="center"/>
        <w:tblLook w:firstColumn="1" w:firstRow="1" w:lastColumn="0" w:lastRow="0" w:noHBand="0" w:noVBand="1" w:val="04A0"/>
        <w:tblLayout w:type="fixed"/>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3120"/>
        <w:gridCol w:w="3120"/>
        <w:gridCol w:w="3120"/>
      </w:tblGrid>
      <w:tr>
        <w:tc>
          <w:tcPr>
            <w:tcW w:type="dxa" w:w="3120"/>
            <w:tcBorders>
              <w:top w:val="single" w:sz="16" w:space="0" w:color="0F2540"/>
            </w:tcBorders>
          </w:tcPr>
          <w:p>
            <w:pPr>
              <w:spacing w:before="80" w:after="40"/>
            </w:pPr>
            <w:r/>
            <w:r>
              <w:rPr>
                <w:rFonts w:ascii="Inter" w:hAnsi="Inter"/>
                <w:color w:val="33455A"/>
                <w:sz w:val="17"/>
              </w:rPr>
              <w:t>Gross Delay</w:t>
            </w:r>
          </w:p>
          <w:p>
            <w:pPr>
              <w:spacing w:after="40"/>
            </w:pPr>
            <w:r>
              <w:rPr>
                <w:rFonts w:ascii="Inter" w:hAnsi="Inter"/>
                <w:b/>
                <w:color w:val="0D1B2A"/>
                <w:sz w:val="48"/>
              </w:rPr>
              <w:t>9</w:t>
            </w:r>
            <w:r>
              <w:rPr>
                <w:rFonts w:ascii="Inter" w:hAnsi="Inter"/>
                <w:color w:val="33455A"/>
                <w:sz w:val="24"/>
              </w:rPr>
              <w:t xml:space="preserve"> wd</w:t>
            </w:r>
          </w:p>
          <w:p>
            <w:r>
              <w:rPr>
                <w:rFonts w:ascii="Inter" w:hAnsi="Inter"/>
                <w:color w:val="33455A"/>
                <w:sz w:val="16"/>
              </w:rPr>
              <w:t>before concurrency</w:t>
            </w:r>
          </w:p>
        </w:tc>
        <w:tc>
          <w:tcPr>
            <w:tcW w:type="dxa" w:w="3120"/>
            <w:tcBorders>
              <w:top w:val="single" w:sz="16" w:space="0" w:color="1E7A4D"/>
            </w:tcBorders>
          </w:tcPr>
          <w:p>
            <w:pPr>
              <w:spacing w:before="80" w:after="40"/>
            </w:pPr>
            <w:r/>
            <w:r>
              <w:rPr>
                <w:rFonts w:ascii="Inter" w:hAnsi="Inter"/>
                <w:color w:val="33455A"/>
                <w:sz w:val="17"/>
              </w:rPr>
              <w:t>Concurrent</w:t>
            </w:r>
          </w:p>
          <w:p>
            <w:pPr>
              <w:spacing w:after="40"/>
            </w:pPr>
            <w:r>
              <w:rPr>
                <w:rFonts w:ascii="Inter" w:hAnsi="Inter"/>
                <w:b/>
                <w:color w:val="1E7A4D"/>
                <w:sz w:val="48"/>
              </w:rPr>
              <w:t>0</w:t>
            </w:r>
            <w:r>
              <w:rPr>
                <w:rFonts w:ascii="Inter" w:hAnsi="Inter"/>
                <w:color w:val="33455A"/>
                <w:sz w:val="24"/>
              </w:rPr>
              <w:t xml:space="preserve"> wd</w:t>
            </w:r>
          </w:p>
          <w:p>
            <w:r>
              <w:rPr>
                <w:rFonts w:ascii="Inter" w:hAnsi="Inter"/>
                <w:color w:val="33455A"/>
                <w:sz w:val="16"/>
              </w:rPr>
              <w:t>deduction</w:t>
            </w:r>
          </w:p>
        </w:tc>
        <w:tc>
          <w:tcPr>
            <w:tcW w:type="dxa" w:w="3120"/>
            <w:tcBorders>
              <w:top w:val="single" w:sz="16" w:space="0" w:color="B7791F"/>
            </w:tcBorders>
          </w:tcPr>
          <w:p>
            <w:pPr>
              <w:spacing w:before="80" w:after="40"/>
            </w:pPr>
            <w:r/>
            <w:r>
              <w:rPr>
                <w:rFonts w:ascii="Inter" w:hAnsi="Inter"/>
                <w:color w:val="33455A"/>
                <w:sz w:val="17"/>
              </w:rPr>
              <w:t>Net Entitlement</w:t>
            </w:r>
          </w:p>
          <w:p>
            <w:pPr>
              <w:spacing w:after="40"/>
            </w:pPr>
            <w:r>
              <w:rPr>
                <w:rFonts w:ascii="Inter" w:hAnsi="Inter"/>
                <w:b/>
                <w:color w:val="B7791F"/>
                <w:sz w:val="48"/>
              </w:rPr>
              <w:t>9</w:t>
            </w:r>
            <w:r>
              <w:rPr>
                <w:rFonts w:ascii="Inter" w:hAnsi="Inter"/>
                <w:color w:val="33455A"/>
                <w:sz w:val="24"/>
              </w:rPr>
              <w:t xml:space="preserve"> wd</w:t>
            </w:r>
          </w:p>
          <w:p>
            <w:r>
              <w:rPr>
                <w:rFonts w:ascii="Inter" w:hAnsi="Inter"/>
                <w:color w:val="33455A"/>
                <w:sz w:val="16"/>
              </w:rPr>
              <w:t>claimed extension</w:t>
            </w:r>
          </w:p>
        </w:tc>
      </w:tr>
    </w:tbl>
    <w:p>
      <w:pPr>
        <w:spacing w:after="40"/>
      </w:pPr>
    </w:p>
    <w:p>
      <w:pPr>
        <w:keepNext/>
        <w:spacing w:before="320" w:after="120"/>
        <w:pBdr>
          <w:bottom w:val="single" w:sz="6" w:space="4" w:color="C9D3DD"/>
        </w:pBdr>
      </w:pPr>
      <w:r>
        <w:rPr>
          <w:rFonts w:ascii="Inter" w:hAnsi="Inter"/>
          <w:b/>
          <w:color w:val="C8392F"/>
          <w:sz w:val="18"/>
        </w:rPr>
        <w:t>B-01</w:t>
      </w:r>
      <w:r>
        <w:t xml:space="preserve">   </w:t>
      </w:r>
      <w:r>
        <w:rPr>
          <w:rFonts w:ascii="Inter" w:hAnsi="Inter"/>
          <w:b/>
          <w:color w:val="0D1B2A"/>
          <w:sz w:val="27"/>
        </w:rPr>
        <w:t>Summary</w:t>
      </w:r>
    </w:p>
    <w:tbl>
      <w:tblPr>
        <w:tblW w:type="auto" w:w="0"/>
        <w:tblLook w:firstColumn="1" w:firstRow="1" w:lastColumn="0" w:lastRow="0" w:noHBand="0" w:noVBand="1" w:val="04A0"/>
        <w:tblLayout w:type="fixed"/>
      </w:tblPr>
      <w:tblGrid>
        <w:gridCol w:w="2736"/>
        <w:gridCol w:w="6623"/>
      </w:tblGrid>
      <w:tr>
        <w:tc>
          <w:tcPr>
            <w:tcW w:type="dxa" w:w="2736"/>
            <w:tcBorders>
              <w:bottom w:val="single" w:sz="4" w:space="0" w:color="C9D3DD"/>
            </w:tcBorders>
            <w:vAlign w:val="center"/>
          </w:tcPr>
          <w:p>
            <w:pPr>
              <w:jc w:val="left"/>
            </w:pPr>
            <w:r/>
            <w:r>
              <w:rPr>
                <w:rFonts w:ascii="Inter" w:hAnsi="Inter"/>
                <w:b w:val="0"/>
                <w:color w:val="33455A"/>
                <w:sz w:val="18"/>
              </w:rPr>
              <w:t>Analysis window</w:t>
            </w:r>
          </w:p>
        </w:tc>
        <w:tc>
          <w:tcPr>
            <w:tcW w:type="dxa" w:w="6623"/>
            <w:tcBorders>
              <w:bottom w:val="single" w:sz="4" w:space="0" w:color="C9D3DD"/>
            </w:tcBorders>
            <w:vAlign w:val="center"/>
          </w:tcPr>
          <w:p>
            <w:pPr>
              <w:jc w:val="left"/>
            </w:pPr>
            <w:r/>
            <w:r>
              <w:rPr>
                <w:rFonts w:ascii="Inter" w:hAnsi="Inter"/>
                <w:b/>
                <w:color w:val="0D1B2A"/>
                <w:sz w:val="19"/>
              </w:rPr>
              <w:t>Baseline → Current</w:t>
            </w:r>
          </w:p>
        </w:tc>
      </w:tr>
      <w:tr>
        <w:tc>
          <w:tcPr>
            <w:tcW w:type="dxa" w:w="2736"/>
            <w:tcBorders>
              <w:bottom w:val="single" w:sz="4" w:space="0" w:color="C9D3DD"/>
            </w:tcBorders>
            <w:vAlign w:val="center"/>
          </w:tcPr>
          <w:p>
            <w:pPr>
              <w:jc w:val="left"/>
            </w:pPr>
            <w:r/>
            <w:r>
              <w:rPr>
                <w:rFonts w:ascii="Inter" w:hAnsi="Inter"/>
                <w:b w:val="0"/>
                <w:color w:val="33455A"/>
                <w:sz w:val="18"/>
              </w:rPr>
              <w:t>Delay event</w:t>
            </w:r>
          </w:p>
        </w:tc>
        <w:tc>
          <w:tcPr>
            <w:tcW w:type="dxa" w:w="6623"/>
            <w:tcBorders>
              <w:bottom w:val="single" w:sz="4" w:space="0" w:color="C9D3DD"/>
            </w:tcBorders>
            <w:vAlign w:val="center"/>
          </w:tcPr>
          <w:p>
            <w:pPr>
              <w:jc w:val="left"/>
            </w:pPr>
            <w:r/>
            <w:r>
              <w:rPr>
                <w:rFonts w:ascii="Inter" w:hAnsi="Inter"/>
                <w:b/>
                <w:color w:val="0D1B2A"/>
                <w:sz w:val="19"/>
              </w:rPr>
              <w:t>Fire-spray application held for owner inspector availability</w:t>
            </w:r>
          </w:p>
        </w:tc>
      </w:tr>
      <w:tr>
        <w:tc>
          <w:tcPr>
            <w:tcW w:type="dxa" w:w="2736"/>
            <w:tcBorders>
              <w:bottom w:val="single" w:sz="4" w:space="0" w:color="C9D3DD"/>
            </w:tcBorders>
            <w:vAlign w:val="center"/>
          </w:tcPr>
          <w:p>
            <w:pPr>
              <w:jc w:val="left"/>
            </w:pPr>
            <w:r/>
            <w:r>
              <w:rPr>
                <w:rFonts w:ascii="Inter" w:hAnsi="Inter"/>
                <w:b w:val="0"/>
                <w:color w:val="33455A"/>
                <w:sz w:val="18"/>
              </w:rPr>
              <w:t>Total claimed</w:t>
            </w:r>
          </w:p>
        </w:tc>
        <w:tc>
          <w:tcPr>
            <w:tcW w:type="dxa" w:w="6623"/>
            <w:tcBorders>
              <w:bottom w:val="single" w:sz="4" w:space="0" w:color="C9D3DD"/>
            </w:tcBorders>
            <w:vAlign w:val="center"/>
          </w:tcPr>
          <w:p>
            <w:pPr>
              <w:jc w:val="left"/>
            </w:pPr>
            <w:r/>
            <w:r>
              <w:rPr>
                <w:rFonts w:ascii="Inter" w:hAnsi="Inter"/>
                <w:b/>
                <w:color w:val="0D1B2A"/>
                <w:sz w:val="19"/>
              </w:rPr>
              <w:t>9 working days</w:t>
            </w:r>
          </w:p>
        </w:tc>
      </w:tr>
      <w:tr>
        <w:tc>
          <w:tcPr>
            <w:tcW w:type="dxa" w:w="2736"/>
            <w:tcBorders>
              <w:bottom w:val="single" w:sz="4" w:space="0" w:color="C9D3DD"/>
            </w:tcBorders>
            <w:vAlign w:val="center"/>
          </w:tcPr>
          <w:p>
            <w:pPr>
              <w:jc w:val="left"/>
            </w:pPr>
            <w:r/>
            <w:r>
              <w:rPr>
                <w:rFonts w:ascii="Inter" w:hAnsi="Inter"/>
                <w:b w:val="0"/>
                <w:color w:val="33455A"/>
                <w:sz w:val="18"/>
              </w:rPr>
              <w:t>Gross delay</w:t>
            </w:r>
          </w:p>
        </w:tc>
        <w:tc>
          <w:tcPr>
            <w:tcW w:type="dxa" w:w="6623"/>
            <w:tcBorders>
              <w:bottom w:val="single" w:sz="4" w:space="0" w:color="C9D3DD"/>
            </w:tcBorders>
            <w:vAlign w:val="center"/>
          </w:tcPr>
          <w:p>
            <w:pPr>
              <w:jc w:val="left"/>
            </w:pPr>
            <w:r/>
            <w:r>
              <w:rPr>
                <w:rFonts w:ascii="Inter" w:hAnsi="Inter"/>
                <w:b/>
                <w:color w:val="0D1B2A"/>
                <w:sz w:val="19"/>
              </w:rPr>
              <w:t>9 working days</w:t>
            </w:r>
          </w:p>
        </w:tc>
      </w:tr>
      <w:tr>
        <w:tc>
          <w:tcPr>
            <w:tcW w:type="dxa" w:w="2736"/>
            <w:tcBorders>
              <w:bottom w:val="single" w:sz="4" w:space="0" w:color="C9D3DD"/>
            </w:tcBorders>
            <w:vAlign w:val="center"/>
          </w:tcPr>
          <w:p>
            <w:pPr>
              <w:jc w:val="left"/>
            </w:pPr>
            <w:r/>
            <w:r>
              <w:rPr>
                <w:rFonts w:ascii="Inter" w:hAnsi="Inter"/>
                <w:b w:val="0"/>
                <w:color w:val="33455A"/>
                <w:sz w:val="18"/>
              </w:rPr>
              <w:t>Concurrent deduction</w:t>
            </w:r>
          </w:p>
        </w:tc>
        <w:tc>
          <w:tcPr>
            <w:tcW w:type="dxa" w:w="6623"/>
            <w:tcBorders>
              <w:bottom w:val="single" w:sz="4" w:space="0" w:color="C9D3DD"/>
            </w:tcBorders>
            <w:vAlign w:val="center"/>
          </w:tcPr>
          <w:p>
            <w:pPr>
              <w:jc w:val="left"/>
            </w:pPr>
            <w:r/>
            <w:r>
              <w:rPr>
                <w:rFonts w:ascii="Inter" w:hAnsi="Inter"/>
                <w:b/>
                <w:color w:val="0D1B2A"/>
                <w:sz w:val="19"/>
              </w:rPr>
              <w:t>0 working days</w:t>
            </w:r>
          </w:p>
        </w:tc>
      </w:tr>
      <w:tr>
        <w:tc>
          <w:tcPr>
            <w:tcW w:type="dxa" w:w="2736"/>
            <w:tcBorders>
              <w:bottom w:val="single" w:sz="4" w:space="0" w:color="C9D3DD"/>
            </w:tcBorders>
            <w:vAlign w:val="center"/>
          </w:tcPr>
          <w:p>
            <w:pPr>
              <w:jc w:val="left"/>
            </w:pPr>
            <w:r/>
            <w:r>
              <w:rPr>
                <w:rFonts w:ascii="Inter" w:hAnsi="Inter"/>
                <w:b w:val="0"/>
                <w:color w:val="33455A"/>
                <w:sz w:val="18"/>
              </w:rPr>
              <w:t>Net entitlement</w:t>
            </w:r>
          </w:p>
        </w:tc>
        <w:tc>
          <w:tcPr>
            <w:tcW w:type="dxa" w:w="6623"/>
            <w:tcBorders>
              <w:bottom w:val="single" w:sz="4" w:space="0" w:color="C9D3DD"/>
            </w:tcBorders>
            <w:vAlign w:val="center"/>
          </w:tcPr>
          <w:p>
            <w:pPr>
              <w:jc w:val="left"/>
            </w:pPr>
            <w:r/>
            <w:r>
              <w:rPr>
                <w:rFonts w:ascii="Inter" w:hAnsi="Inter"/>
                <w:b/>
                <w:color w:val="0D1B2A"/>
                <w:sz w:val="19"/>
              </w:rPr>
              <w:t>9 working days</w:t>
            </w:r>
          </w:p>
        </w:tc>
      </w:tr>
      <w:tr>
        <w:tc>
          <w:tcPr>
            <w:tcW w:type="dxa" w:w="2736"/>
            <w:tcBorders>
              <w:bottom w:val="single" w:sz="4" w:space="0" w:color="C9D3DD"/>
            </w:tcBorders>
            <w:vAlign w:val="center"/>
          </w:tcPr>
          <w:p>
            <w:pPr>
              <w:jc w:val="left"/>
            </w:pPr>
            <w:r/>
            <w:r>
              <w:rPr>
                <w:rFonts w:ascii="Inter" w:hAnsi="Inter"/>
                <w:b w:val="0"/>
                <w:color w:val="33455A"/>
                <w:sz w:val="18"/>
              </w:rPr>
              <w:t>Contract basis</w:t>
            </w:r>
          </w:p>
        </w:tc>
        <w:tc>
          <w:tcPr>
            <w:tcW w:type="dxa" w:w="6623"/>
            <w:tcBorders>
              <w:bottom w:val="single" w:sz="4" w:space="0" w:color="C9D3DD"/>
            </w:tcBorders>
            <w:vAlign w:val="center"/>
          </w:tcPr>
          <w:p>
            <w:pPr>
              <w:jc w:val="left"/>
            </w:pPr>
            <w:r/>
            <w:r>
              <w:rPr>
                <w:rFonts w:ascii="Inter" w:hAnsi="Inter"/>
                <w:b/>
                <w:color w:val="0D1B2A"/>
                <w:sz w:val="19"/>
              </w:rPr>
              <w:t>GC 6.5.1 (delay by the Owner or the Consultant)</w:t>
            </w:r>
          </w:p>
        </w:tc>
      </w:tr>
    </w:tbl>
    <w:p>
      <w:pPr>
        <w:spacing w:after="40"/>
      </w:pPr>
    </w:p>
    <w:p>
      <w:pPr>
        <w:keepNext/>
        <w:spacing w:before="320" w:after="120"/>
        <w:pBdr>
          <w:bottom w:val="single" w:sz="6" w:space="4" w:color="C9D3DD"/>
        </w:pBdr>
      </w:pPr>
      <w:r>
        <w:rPr>
          <w:rFonts w:ascii="Inter" w:hAnsi="Inter"/>
          <w:b/>
          <w:color w:val="C8392F"/>
          <w:sz w:val="18"/>
        </w:rPr>
        <w:t>B-02</w:t>
      </w:r>
      <w:r>
        <w:t xml:space="preserve">   </w:t>
      </w:r>
      <w:r>
        <w:rPr>
          <w:rFonts w:ascii="Inter" w:hAnsi="Inter"/>
          <w:b/>
          <w:color w:val="0D1B2A"/>
          <w:sz w:val="27"/>
        </w:rPr>
        <w:t>Event Description</w:t>
      </w:r>
    </w:p>
    <w:p>
      <w:r>
        <w:rPr>
          <w:rFonts w:ascii="Inter" w:hAnsi="Inter"/>
          <w:b w:val="0"/>
          <w:color w:val="0D1B2A"/>
          <w:sz w:val="21"/>
        </w:rPr>
        <w:t>On June 10, 2025 the Owner advised that its fire-protection inspector would not be available to witness fire-spray application on the sequence dates carried in the baseline, and directed that application proceed only in witnessed stages. The contractor issued notice of delay on June 12, 2025. In the current schedule update the forecast finish of activity A3240 (Fire Spraying and Intumescent Paint) moves from 25-Feb-2026 to 18-Mar-2026, and the staged-witnessing restriction adds 9 working days of duration to the activity, which sits on the driving path into the interior fit-out chain. Demonstration narrative on synthetic data.</w:t>
      </w:r>
    </w:p>
    <w:p>
      <w:pPr>
        <w:keepNext/>
        <w:spacing w:before="320" w:after="120"/>
        <w:pBdr>
          <w:bottom w:val="single" w:sz="6" w:space="4" w:color="C9D3DD"/>
        </w:pBdr>
      </w:pPr>
      <w:r>
        <w:rPr>
          <w:rFonts w:ascii="Inter" w:hAnsi="Inter"/>
          <w:b/>
          <w:color w:val="C8392F"/>
          <w:sz w:val="18"/>
        </w:rPr>
        <w:t>B-03</w:t>
      </w:r>
      <w:r>
        <w:t xml:space="preserve">   </w:t>
      </w:r>
      <w:r>
        <w:rPr>
          <w:rFonts w:ascii="Inter" w:hAnsi="Inter"/>
          <w:b/>
          <w:color w:val="0D1B2A"/>
          <w:sz w:val="27"/>
        </w:rPr>
        <w:t>Timeline of Key Events</w:t>
      </w:r>
    </w:p>
    <w:tbl>
      <w:tblPr>
        <w:tblW w:type="auto" w:w="0"/>
        <w:jc w:val="center"/>
        <w:tblLook w:firstColumn="1" w:firstRow="1" w:lastColumn="0" w:lastRow="0" w:noHBand="0" w:noVBand="1" w:val="04A0"/>
        <w:tblLayout w:type="fixed"/>
      </w:tblPr>
      <w:tblGrid>
        <w:gridCol w:w="3120"/>
        <w:gridCol w:w="3120"/>
        <w:gridCol w:w="3120"/>
      </w:tblGrid>
      <w:tr>
        <w:tc>
          <w:tcPr>
            <w:tcW w:type="dxa" w:w="3120"/>
            <w:tcBorders>
              <w:bottom w:val="single" w:sz="8" w:space="0" w:color="0F2540"/>
            </w:tcBorders>
            <w:vAlign w:val="center"/>
          </w:tcPr>
          <w:p>
            <w:pPr>
              <w:jc w:val="right"/>
            </w:pPr>
            <w:r/>
            <w:r>
              <w:rPr>
                <w:rFonts w:ascii="Inter" w:hAnsi="Inter"/>
                <w:b/>
                <w:color w:val="33455A"/>
                <w:sz w:val="17"/>
              </w:rPr>
              <w:t>Date</w:t>
            </w:r>
          </w:p>
        </w:tc>
        <w:tc>
          <w:tcPr>
            <w:tcW w:type="dxa" w:w="3120"/>
            <w:tcBorders>
              <w:bottom w:val="single" w:sz="8" w:space="0" w:color="0F2540"/>
            </w:tcBorders>
            <w:vAlign w:val="center"/>
          </w:tcPr>
          <w:p>
            <w:pPr>
              <w:jc w:val="left"/>
            </w:pPr>
            <w:r/>
            <w:r>
              <w:rPr>
                <w:rFonts w:ascii="Inter" w:hAnsi="Inter"/>
                <w:b/>
                <w:color w:val="33455A"/>
                <w:sz w:val="17"/>
              </w:rPr>
              <w:t>Event</w:t>
            </w:r>
          </w:p>
        </w:tc>
        <w:tc>
          <w:tcPr>
            <w:tcW w:type="dxa" w:w="3120"/>
            <w:tcBorders>
              <w:bottom w:val="single" w:sz="8" w:space="0" w:color="0F2540"/>
            </w:tcBorders>
            <w:vAlign w:val="center"/>
          </w:tcPr>
          <w:p>
            <w:pPr>
              <w:jc w:val="left"/>
            </w:pPr>
            <w:r/>
            <w:r>
              <w:rPr>
                <w:rFonts w:ascii="Inter" w:hAnsi="Inter"/>
                <w:b/>
                <w:color w:val="33455A"/>
                <w:sz w:val="17"/>
              </w:rPr>
              <w:t>Source Document</w:t>
            </w:r>
          </w:p>
        </w:tc>
      </w:tr>
      <w:tr>
        <w:tc>
          <w:tcPr>
            <w:tcW w:type="dxa" w:w="3120"/>
            <w:tcBorders>
              <w:bottom w:val="single" w:sz="4" w:space="0" w:color="C9D3DD"/>
            </w:tcBorders>
            <w:vAlign w:val="center"/>
          </w:tcPr>
          <w:p>
            <w:pPr>
              <w:jc w:val="right"/>
            </w:pPr>
            <w:r/>
            <w:r>
              <w:rPr>
                <w:rFonts w:ascii="Consolas" w:hAnsi="Consolas" w:cs="Consolas"/>
                <w:b/>
                <w:color w:val="0D1B2A"/>
                <w:sz w:val="19"/>
              </w:rPr>
              <w:t>10 Jun 2025</w:t>
            </w:r>
          </w:p>
        </w:tc>
        <w:tc>
          <w:tcPr>
            <w:tcW w:type="dxa" w:w="3120"/>
            <w:tcBorders>
              <w:bottom w:val="single" w:sz="4" w:space="0" w:color="C9D3DD"/>
            </w:tcBorders>
            <w:vAlign w:val="center"/>
          </w:tcPr>
          <w:p>
            <w:pPr>
              <w:jc w:val="left"/>
            </w:pPr>
            <w:r/>
            <w:r>
              <w:rPr>
                <w:rFonts w:ascii="Inter" w:hAnsi="Inter"/>
                <w:b w:val="0"/>
                <w:color w:val="0D1B2A"/>
                <w:sz w:val="19"/>
              </w:rPr>
              <w:t>Owner advises restricted inspector availability</w:t>
            </w:r>
          </w:p>
        </w:tc>
        <w:tc>
          <w:tcPr>
            <w:tcW w:type="dxa" w:w="3120"/>
            <w:tcBorders>
              <w:bottom w:val="single" w:sz="4" w:space="0" w:color="C9D3DD"/>
            </w:tcBorders>
            <w:vAlign w:val="center"/>
          </w:tcPr>
          <w:p>
            <w:pPr>
              <w:jc w:val="left"/>
            </w:pPr>
            <w:r/>
            <w:r>
              <w:rPr>
                <w:rFonts w:ascii="Inter" w:hAnsi="Inter"/>
                <w:b w:val="0"/>
                <w:color w:val="0D1B2A"/>
                <w:sz w:val="19"/>
              </w:rPr>
              <w:t>D-2</w:t>
            </w:r>
          </w:p>
        </w:tc>
      </w:tr>
      <w:tr>
        <w:tc>
          <w:tcPr>
            <w:tcW w:type="dxa" w:w="3120"/>
            <w:tcBorders>
              <w:bottom w:val="single" w:sz="4" w:space="0" w:color="C9D3DD"/>
            </w:tcBorders>
            <w:vAlign w:val="center"/>
          </w:tcPr>
          <w:p>
            <w:pPr>
              <w:jc w:val="right"/>
            </w:pPr>
            <w:r/>
            <w:r>
              <w:rPr>
                <w:rFonts w:ascii="Consolas" w:hAnsi="Consolas" w:cs="Consolas"/>
                <w:b/>
                <w:color w:val="0D1B2A"/>
                <w:sz w:val="19"/>
              </w:rPr>
              <w:t>12 Jun 2025</w:t>
            </w:r>
          </w:p>
        </w:tc>
        <w:tc>
          <w:tcPr>
            <w:tcW w:type="dxa" w:w="3120"/>
            <w:tcBorders>
              <w:bottom w:val="single" w:sz="4" w:space="0" w:color="C9D3DD"/>
            </w:tcBorders>
            <w:vAlign w:val="center"/>
          </w:tcPr>
          <w:p>
            <w:pPr>
              <w:jc w:val="left"/>
            </w:pPr>
            <w:r/>
            <w:r>
              <w:rPr>
                <w:rFonts w:ascii="Inter" w:hAnsi="Inter"/>
                <w:b w:val="0"/>
                <w:color w:val="0D1B2A"/>
                <w:sz w:val="19"/>
              </w:rPr>
              <w:t>Contractor notice of delay issued</w:t>
            </w:r>
          </w:p>
        </w:tc>
        <w:tc>
          <w:tcPr>
            <w:tcW w:type="dxa" w:w="3120"/>
            <w:tcBorders>
              <w:bottom w:val="single" w:sz="4" w:space="0" w:color="C9D3DD"/>
            </w:tcBorders>
            <w:vAlign w:val="center"/>
          </w:tcPr>
          <w:p>
            <w:pPr>
              <w:jc w:val="left"/>
            </w:pPr>
            <w:r/>
            <w:r>
              <w:rPr>
                <w:rFonts w:ascii="Inter" w:hAnsi="Inter"/>
                <w:b w:val="0"/>
                <w:color w:val="0D1B2A"/>
                <w:sz w:val="19"/>
              </w:rPr>
              <w:t>D-1</w:t>
            </w:r>
          </w:p>
        </w:tc>
      </w:tr>
      <w:tr>
        <w:tc>
          <w:tcPr>
            <w:tcW w:type="dxa" w:w="3120"/>
            <w:tcBorders>
              <w:bottom w:val="single" w:sz="4" w:space="0" w:color="C9D3DD"/>
            </w:tcBorders>
            <w:vAlign w:val="center"/>
          </w:tcPr>
          <w:p>
            <w:pPr>
              <w:jc w:val="right"/>
            </w:pPr>
            <w:r/>
            <w:r>
              <w:rPr>
                <w:rFonts w:ascii="Consolas" w:hAnsi="Consolas" w:cs="Consolas"/>
                <w:b/>
                <w:color w:val="0D1B2A"/>
                <w:sz w:val="19"/>
              </w:rPr>
              <w:t>01 Jul 2025</w:t>
            </w:r>
          </w:p>
        </w:tc>
        <w:tc>
          <w:tcPr>
            <w:tcW w:type="dxa" w:w="3120"/>
            <w:tcBorders>
              <w:bottom w:val="single" w:sz="4" w:space="0" w:color="C9D3DD"/>
            </w:tcBorders>
            <w:vAlign w:val="center"/>
          </w:tcPr>
          <w:p>
            <w:pPr>
              <w:jc w:val="left"/>
            </w:pPr>
            <w:r/>
            <w:r>
              <w:rPr>
                <w:rFonts w:ascii="Inter" w:hAnsi="Inter"/>
                <w:b w:val="0"/>
                <w:color w:val="0D1B2A"/>
                <w:sz w:val="19"/>
              </w:rPr>
              <w:t>Schedule update carries the staged-witnessing durations</w:t>
            </w:r>
          </w:p>
        </w:tc>
        <w:tc>
          <w:tcPr>
            <w:tcW w:type="dxa" w:w="3120"/>
            <w:tcBorders>
              <w:bottom w:val="single" w:sz="4" w:space="0" w:color="C9D3DD"/>
            </w:tcBorders>
            <w:vAlign w:val="center"/>
          </w:tcPr>
          <w:p>
            <w:pPr>
              <w:jc w:val="left"/>
            </w:pPr>
            <w:r/>
            <w:r>
              <w:rPr>
                <w:rFonts w:ascii="Inter" w:hAnsi="Inter"/>
                <w:b w:val="0"/>
                <w:color w:val="0D1B2A"/>
                <w:sz w:val="19"/>
              </w:rPr>
              <w:t>D-4</w:t>
            </w:r>
          </w:p>
        </w:tc>
      </w:tr>
    </w:tbl>
    <w:p>
      <w:pPr>
        <w:spacing w:after="40"/>
      </w:pPr>
    </w:p>
    <w:p>
      <w:pPr>
        <w:keepNext/>
        <w:spacing w:before="320" w:after="120"/>
        <w:pBdr>
          <w:bottom w:val="single" w:sz="6" w:space="4" w:color="C9D3DD"/>
        </w:pBdr>
      </w:pPr>
      <w:r>
        <w:rPr>
          <w:rFonts w:ascii="Inter" w:hAnsi="Inter"/>
          <w:b/>
          <w:color w:val="C8392F"/>
          <w:sz w:val="18"/>
        </w:rPr>
        <w:t>B-04</w:t>
      </w:r>
      <w:r>
        <w:t xml:space="preserve">   </w:t>
      </w:r>
      <w:r>
        <w:rPr>
          <w:rFonts w:ascii="Inter" w:hAnsi="Inter"/>
          <w:b/>
          <w:color w:val="0D1B2A"/>
          <w:sz w:val="27"/>
        </w:rPr>
        <w:t>Schedule Impact Analysis</w:t>
      </w:r>
    </w:p>
    <w:tbl>
      <w:tblPr>
        <w:tblW w:type="auto" w:w="0"/>
        <w:jc w:val="center"/>
        <w:tblLook w:firstColumn="1" w:firstRow="1" w:lastColumn="0" w:lastRow="0" w:noHBand="0" w:noVBand="1" w:val="04A0"/>
        <w:tblLayout w:type="fixed"/>
      </w:tblPr>
      <w:tblGrid>
        <w:gridCol w:w="1560"/>
        <w:gridCol w:w="1560"/>
        <w:gridCol w:w="1560"/>
        <w:gridCol w:w="1560"/>
        <w:gridCol w:w="1560"/>
        <w:gridCol w:w="1560"/>
      </w:tblGrid>
      <w:tr>
        <w:tc>
          <w:tcPr>
            <w:tcW w:type="dxa" w:w="1560"/>
            <w:tcBorders>
              <w:bottom w:val="single" w:sz="8" w:space="0" w:color="0F2540"/>
            </w:tcBorders>
            <w:vAlign w:val="center"/>
          </w:tcPr>
          <w:p>
            <w:pPr>
              <w:jc w:val="left"/>
            </w:pPr>
            <w:r/>
            <w:r>
              <w:rPr>
                <w:rFonts w:ascii="Inter" w:hAnsi="Inter"/>
                <w:b/>
                <w:color w:val="33455A"/>
                <w:sz w:val="17"/>
              </w:rPr>
              <w:t>Activity</w:t>
            </w:r>
          </w:p>
        </w:tc>
        <w:tc>
          <w:tcPr>
            <w:tcW w:type="dxa" w:w="1560"/>
            <w:tcBorders>
              <w:bottom w:val="single" w:sz="8" w:space="0" w:color="0F2540"/>
            </w:tcBorders>
            <w:vAlign w:val="center"/>
          </w:tcPr>
          <w:p>
            <w:pPr>
              <w:jc w:val="left"/>
            </w:pPr>
            <w:r/>
            <w:r>
              <w:rPr>
                <w:rFonts w:ascii="Inter" w:hAnsi="Inter"/>
                <w:b/>
                <w:color w:val="33455A"/>
                <w:sz w:val="17"/>
              </w:rPr>
              <w:t>Name</w:t>
            </w:r>
          </w:p>
        </w:tc>
        <w:tc>
          <w:tcPr>
            <w:tcW w:type="dxa" w:w="1560"/>
            <w:tcBorders>
              <w:bottom w:val="single" w:sz="8" w:space="0" w:color="0F2540"/>
            </w:tcBorders>
            <w:vAlign w:val="center"/>
          </w:tcPr>
          <w:p>
            <w:pPr>
              <w:jc w:val="right"/>
            </w:pPr>
            <w:r/>
            <w:r>
              <w:rPr>
                <w:rFonts w:ascii="Inter" w:hAnsi="Inter"/>
                <w:b/>
                <w:color w:val="33455A"/>
                <w:sz w:val="17"/>
              </w:rPr>
              <w:t>Prior Finish</w:t>
            </w:r>
          </w:p>
        </w:tc>
        <w:tc>
          <w:tcPr>
            <w:tcW w:type="dxa" w:w="1560"/>
            <w:tcBorders>
              <w:bottom w:val="single" w:sz="8" w:space="0" w:color="0F2540"/>
            </w:tcBorders>
            <w:vAlign w:val="center"/>
          </w:tcPr>
          <w:p>
            <w:pPr>
              <w:jc w:val="right"/>
            </w:pPr>
            <w:r/>
            <w:r>
              <w:rPr>
                <w:rFonts w:ascii="Inter" w:hAnsi="Inter"/>
                <w:b/>
                <w:color w:val="33455A"/>
                <w:sz w:val="17"/>
              </w:rPr>
              <w:t>Later Finish</w:t>
            </w:r>
          </w:p>
        </w:tc>
        <w:tc>
          <w:tcPr>
            <w:tcW w:type="dxa" w:w="1560"/>
            <w:tcBorders>
              <w:bottom w:val="single" w:sz="8" w:space="0" w:color="0F2540"/>
            </w:tcBorders>
            <w:vAlign w:val="center"/>
          </w:tcPr>
          <w:p>
            <w:pPr>
              <w:jc w:val="right"/>
            </w:pPr>
            <w:r/>
            <w:r>
              <w:rPr>
                <w:rFonts w:ascii="Inter" w:hAnsi="Inter"/>
                <w:b/>
                <w:color w:val="33455A"/>
                <w:sz w:val="17"/>
              </w:rPr>
              <w:t>Slip</w:t>
            </w:r>
          </w:p>
        </w:tc>
        <w:tc>
          <w:tcPr>
            <w:tcW w:type="dxa" w:w="1560"/>
            <w:tcBorders>
              <w:bottom w:val="single" w:sz="8" w:space="0" w:color="0F2540"/>
            </w:tcBorders>
            <w:vAlign w:val="center"/>
          </w:tcPr>
          <w:p>
            <w:pPr>
              <w:jc w:val="left"/>
            </w:pPr>
            <w:r/>
            <w:r>
              <w:rPr>
                <w:rFonts w:ascii="Inter" w:hAnsi="Inter"/>
                <w:b/>
                <w:color w:val="33455A"/>
                <w:sz w:val="17"/>
              </w:rPr>
              <w:t>On CP</w:t>
            </w:r>
          </w:p>
        </w:tc>
      </w:tr>
      <w:tr>
        <w:tc>
          <w:tcPr>
            <w:tcW w:type="dxa" w:w="1560"/>
            <w:tcBorders>
              <w:bottom w:val="single" w:sz="4" w:space="0" w:color="C9D3DD"/>
            </w:tcBorders>
            <w:vAlign w:val="center"/>
          </w:tcPr>
          <w:p>
            <w:pPr>
              <w:jc w:val="left"/>
            </w:pPr>
            <w:r/>
            <w:r>
              <w:rPr>
                <w:rFonts w:ascii="Consolas" w:hAnsi="Consolas" w:cs="Consolas"/>
                <w:b/>
                <w:color w:val="0D1B2A"/>
                <w:sz w:val="19"/>
              </w:rPr>
              <w:t>A3240</w:t>
            </w:r>
          </w:p>
        </w:tc>
        <w:tc>
          <w:tcPr>
            <w:tcW w:type="dxa" w:w="1560"/>
            <w:tcBorders>
              <w:bottom w:val="single" w:sz="4" w:space="0" w:color="C9D3DD"/>
            </w:tcBorders>
            <w:vAlign w:val="center"/>
          </w:tcPr>
          <w:p>
            <w:pPr>
              <w:jc w:val="left"/>
            </w:pPr>
            <w:r/>
            <w:r>
              <w:rPr>
                <w:rFonts w:ascii="Inter" w:hAnsi="Inter"/>
                <w:b w:val="0"/>
                <w:color w:val="0D1B2A"/>
                <w:sz w:val="19"/>
              </w:rPr>
              <w:t>Fire Spraying &amp; Intumescent Paint</w:t>
            </w:r>
          </w:p>
        </w:tc>
        <w:tc>
          <w:tcPr>
            <w:tcW w:type="dxa" w:w="1560"/>
            <w:tcBorders>
              <w:bottom w:val="single" w:sz="4" w:space="0" w:color="C9D3DD"/>
            </w:tcBorders>
            <w:vAlign w:val="center"/>
          </w:tcPr>
          <w:p>
            <w:pPr>
              <w:jc w:val="right"/>
            </w:pPr>
            <w:r/>
            <w:r>
              <w:rPr>
                <w:rFonts w:ascii="Consolas" w:hAnsi="Consolas" w:cs="Consolas"/>
                <w:b w:val="0"/>
                <w:color w:val="0D1B2A"/>
                <w:sz w:val="19"/>
              </w:rPr>
              <w:t>2026-02-25</w:t>
            </w:r>
          </w:p>
        </w:tc>
        <w:tc>
          <w:tcPr>
            <w:tcW w:type="dxa" w:w="1560"/>
            <w:tcBorders>
              <w:bottom w:val="single" w:sz="4" w:space="0" w:color="C9D3DD"/>
            </w:tcBorders>
            <w:vAlign w:val="center"/>
          </w:tcPr>
          <w:p>
            <w:pPr>
              <w:jc w:val="right"/>
            </w:pPr>
            <w:r/>
            <w:r>
              <w:rPr>
                <w:rFonts w:ascii="Consolas" w:hAnsi="Consolas" w:cs="Consolas"/>
                <w:b w:val="0"/>
                <w:color w:val="0D1B2A"/>
                <w:sz w:val="19"/>
              </w:rPr>
              <w:t>2026-03-18</w:t>
            </w:r>
          </w:p>
        </w:tc>
        <w:tc>
          <w:tcPr>
            <w:tcW w:type="dxa" w:w="1560"/>
            <w:tcBorders>
              <w:bottom w:val="single" w:sz="4" w:space="0" w:color="C9D3DD"/>
            </w:tcBorders>
            <w:vAlign w:val="center"/>
          </w:tcPr>
          <w:p>
            <w:pPr>
              <w:jc w:val="right"/>
            </w:pPr>
            <w:r/>
            <w:r>
              <w:rPr>
                <w:rFonts w:ascii="Consolas" w:hAnsi="Consolas" w:cs="Consolas"/>
                <w:b/>
                <w:color w:val="C8392F"/>
                <w:sz w:val="19"/>
              </w:rPr>
              <w:t>+14d</w:t>
            </w:r>
          </w:p>
        </w:tc>
        <w:tc>
          <w:tcPr>
            <w:tcW w:type="dxa" w:w="1560"/>
            <w:tcBorders>
              <w:bottom w:val="single" w:sz="4" w:space="0" w:color="C9D3DD"/>
            </w:tcBorders>
            <w:vAlign w:val="center"/>
          </w:tcPr>
          <w:p>
            <w:pPr>
              <w:jc w:val="left"/>
            </w:pPr>
            <w:r/>
            <w:r>
              <w:rPr>
                <w:rFonts w:ascii="Inter" w:hAnsi="Inter"/>
                <w:b/>
                <w:color w:val="1E7A4D"/>
                <w:sz w:val="19"/>
              </w:rPr>
              <w:t>Yes</w:t>
            </w:r>
          </w:p>
        </w:tc>
      </w:tr>
      <w:tr>
        <w:tc>
          <w:tcPr>
            <w:tcW w:type="dxa" w:w="1560"/>
            <w:tcBorders>
              <w:bottom w:val="single" w:sz="4" w:space="0" w:color="C9D3DD"/>
            </w:tcBorders>
            <w:vAlign w:val="center"/>
          </w:tcPr>
          <w:p>
            <w:pPr>
              <w:jc w:val="left"/>
            </w:pPr>
            <w:r/>
            <w:r>
              <w:rPr>
                <w:rFonts w:ascii="Consolas" w:hAnsi="Consolas" w:cs="Consolas"/>
                <w:b/>
                <w:color w:val="0D1B2A"/>
                <w:sz w:val="19"/>
              </w:rPr>
              <w:t>A4030</w:t>
            </w:r>
          </w:p>
        </w:tc>
        <w:tc>
          <w:tcPr>
            <w:tcW w:type="dxa" w:w="1560"/>
            <w:tcBorders>
              <w:bottom w:val="single" w:sz="4" w:space="0" w:color="C9D3DD"/>
            </w:tcBorders>
            <w:vAlign w:val="center"/>
          </w:tcPr>
          <w:p>
            <w:pPr>
              <w:jc w:val="left"/>
            </w:pPr>
            <w:r/>
            <w:r>
              <w:rPr>
                <w:rFonts w:ascii="Inter" w:hAnsi="Inter"/>
                <w:b w:val="0"/>
                <w:color w:val="0D1B2A"/>
                <w:sz w:val="19"/>
              </w:rPr>
              <w:t>New Partition Framing</w:t>
            </w:r>
          </w:p>
        </w:tc>
        <w:tc>
          <w:tcPr>
            <w:tcW w:type="dxa" w:w="1560"/>
            <w:tcBorders>
              <w:bottom w:val="single" w:sz="4" w:space="0" w:color="C9D3DD"/>
            </w:tcBorders>
            <w:vAlign w:val="center"/>
          </w:tcPr>
          <w:p>
            <w:pPr>
              <w:jc w:val="right"/>
            </w:pPr>
            <w:r/>
            <w:r>
              <w:rPr>
                <w:rFonts w:ascii="Consolas" w:hAnsi="Consolas" w:cs="Consolas"/>
                <w:b w:val="0"/>
                <w:color w:val="0D1B2A"/>
                <w:sz w:val="19"/>
              </w:rPr>
              <w:t>2025-09-23</w:t>
            </w:r>
          </w:p>
        </w:tc>
        <w:tc>
          <w:tcPr>
            <w:tcW w:type="dxa" w:w="1560"/>
            <w:tcBorders>
              <w:bottom w:val="single" w:sz="4" w:space="0" w:color="C9D3DD"/>
            </w:tcBorders>
            <w:vAlign w:val="center"/>
          </w:tcPr>
          <w:p>
            <w:pPr>
              <w:jc w:val="right"/>
            </w:pPr>
            <w:r/>
            <w:r>
              <w:rPr>
                <w:rFonts w:ascii="Consolas" w:hAnsi="Consolas" w:cs="Consolas"/>
                <w:b w:val="0"/>
                <w:color w:val="0D1B2A"/>
                <w:sz w:val="19"/>
              </w:rPr>
              <w:t>2026-04-08</w:t>
            </w:r>
          </w:p>
        </w:tc>
        <w:tc>
          <w:tcPr>
            <w:tcW w:type="dxa" w:w="1560"/>
            <w:tcBorders>
              <w:bottom w:val="single" w:sz="4" w:space="0" w:color="C9D3DD"/>
            </w:tcBorders>
            <w:vAlign w:val="center"/>
          </w:tcPr>
          <w:p>
            <w:pPr>
              <w:jc w:val="right"/>
            </w:pPr>
            <w:r/>
            <w:r>
              <w:rPr>
                <w:rFonts w:ascii="Consolas" w:hAnsi="Consolas" w:cs="Consolas"/>
                <w:b/>
                <w:color w:val="C8392F"/>
                <w:sz w:val="19"/>
              </w:rPr>
              <w:t>+136d</w:t>
            </w:r>
          </w:p>
        </w:tc>
        <w:tc>
          <w:tcPr>
            <w:tcW w:type="dxa" w:w="1560"/>
            <w:tcBorders>
              <w:bottom w:val="single" w:sz="4" w:space="0" w:color="C9D3DD"/>
            </w:tcBorders>
            <w:vAlign w:val="center"/>
          </w:tcPr>
          <w:p>
            <w:pPr>
              <w:jc w:val="left"/>
            </w:pPr>
            <w:r/>
            <w:r>
              <w:rPr>
                <w:rFonts w:ascii="Inter" w:hAnsi="Inter"/>
                <w:b/>
                <w:color w:val="1E7A4D"/>
                <w:sz w:val="19"/>
              </w:rPr>
              <w:t>Yes</w:t>
            </w:r>
          </w:p>
        </w:tc>
      </w:tr>
      <w:tr>
        <w:tc>
          <w:tcPr>
            <w:tcW w:type="dxa" w:w="1560"/>
            <w:tcBorders>
              <w:bottom w:val="single" w:sz="4" w:space="0" w:color="C9D3DD"/>
            </w:tcBorders>
            <w:vAlign w:val="center"/>
          </w:tcPr>
          <w:p>
            <w:pPr>
              <w:jc w:val="left"/>
            </w:pPr>
            <w:r/>
            <w:r>
              <w:rPr>
                <w:rFonts w:ascii="Consolas" w:hAnsi="Consolas" w:cs="Consolas"/>
                <w:b/>
                <w:color w:val="0D1B2A"/>
                <w:sz w:val="19"/>
              </w:rPr>
              <w:t>A4040</w:t>
            </w:r>
          </w:p>
        </w:tc>
        <w:tc>
          <w:tcPr>
            <w:tcW w:type="dxa" w:w="1560"/>
            <w:tcBorders>
              <w:bottom w:val="single" w:sz="4" w:space="0" w:color="C9D3DD"/>
            </w:tcBorders>
            <w:vAlign w:val="center"/>
          </w:tcPr>
          <w:p>
            <w:pPr>
              <w:jc w:val="left"/>
            </w:pPr>
            <w:r/>
            <w:r>
              <w:rPr>
                <w:rFonts w:ascii="Inter" w:hAnsi="Inter"/>
                <w:b w:val="0"/>
                <w:color w:val="0D1B2A"/>
                <w:sz w:val="19"/>
              </w:rPr>
              <w:t>MEP Rough-ins</w:t>
            </w:r>
          </w:p>
        </w:tc>
        <w:tc>
          <w:tcPr>
            <w:tcW w:type="dxa" w:w="1560"/>
            <w:tcBorders>
              <w:bottom w:val="single" w:sz="4" w:space="0" w:color="C9D3DD"/>
            </w:tcBorders>
            <w:vAlign w:val="center"/>
          </w:tcPr>
          <w:p>
            <w:pPr>
              <w:jc w:val="right"/>
            </w:pPr>
            <w:r/>
            <w:r>
              <w:rPr>
                <w:rFonts w:ascii="Consolas" w:hAnsi="Consolas" w:cs="Consolas"/>
                <w:b w:val="0"/>
                <w:color w:val="0D1B2A"/>
                <w:sz w:val="19"/>
              </w:rPr>
              <w:t>2026-03-25</w:t>
            </w:r>
          </w:p>
        </w:tc>
        <w:tc>
          <w:tcPr>
            <w:tcW w:type="dxa" w:w="1560"/>
            <w:tcBorders>
              <w:bottom w:val="single" w:sz="4" w:space="0" w:color="C9D3DD"/>
            </w:tcBorders>
            <w:vAlign w:val="center"/>
          </w:tcPr>
          <w:p>
            <w:pPr>
              <w:jc w:val="right"/>
            </w:pPr>
            <w:r/>
            <w:r>
              <w:rPr>
                <w:rFonts w:ascii="Consolas" w:hAnsi="Consolas" w:cs="Consolas"/>
                <w:b w:val="0"/>
                <w:color w:val="0D1B2A"/>
                <w:sz w:val="19"/>
              </w:rPr>
              <w:t>2026-05-11</w:t>
            </w:r>
          </w:p>
        </w:tc>
        <w:tc>
          <w:tcPr>
            <w:tcW w:type="dxa" w:w="1560"/>
            <w:tcBorders>
              <w:bottom w:val="single" w:sz="4" w:space="0" w:color="C9D3DD"/>
            </w:tcBorders>
            <w:vAlign w:val="center"/>
          </w:tcPr>
          <w:p>
            <w:pPr>
              <w:jc w:val="right"/>
            </w:pPr>
            <w:r/>
            <w:r>
              <w:rPr>
                <w:rFonts w:ascii="Consolas" w:hAnsi="Consolas" w:cs="Consolas"/>
                <w:b/>
                <w:color w:val="C8392F"/>
                <w:sz w:val="19"/>
              </w:rPr>
              <w:t>+33d</w:t>
            </w:r>
          </w:p>
        </w:tc>
        <w:tc>
          <w:tcPr>
            <w:tcW w:type="dxa" w:w="1560"/>
            <w:tcBorders>
              <w:bottom w:val="single" w:sz="4" w:space="0" w:color="C9D3DD"/>
            </w:tcBorders>
            <w:vAlign w:val="center"/>
          </w:tcPr>
          <w:p>
            <w:pPr>
              <w:jc w:val="left"/>
            </w:pPr>
            <w:r/>
            <w:r>
              <w:rPr>
                <w:rFonts w:ascii="Inter" w:hAnsi="Inter"/>
                <w:b/>
                <w:color w:val="1E7A4D"/>
                <w:sz w:val="19"/>
              </w:rPr>
              <w:t>Yes</w:t>
            </w:r>
          </w:p>
        </w:tc>
      </w:tr>
      <w:tr>
        <w:tc>
          <w:tcPr>
            <w:tcW w:type="dxa" w:w="1560"/>
            <w:tcBorders>
              <w:bottom w:val="single" w:sz="4" w:space="0" w:color="C9D3DD"/>
            </w:tcBorders>
            <w:vAlign w:val="center"/>
          </w:tcPr>
          <w:p>
            <w:pPr>
              <w:jc w:val="left"/>
            </w:pPr>
            <w:r/>
            <w:r>
              <w:rPr>
                <w:rFonts w:ascii="Consolas" w:hAnsi="Consolas" w:cs="Consolas"/>
                <w:b/>
                <w:color w:val="0D1B2A"/>
                <w:sz w:val="19"/>
              </w:rPr>
              <w:t>A4050</w:t>
            </w:r>
          </w:p>
        </w:tc>
        <w:tc>
          <w:tcPr>
            <w:tcW w:type="dxa" w:w="1560"/>
            <w:tcBorders>
              <w:bottom w:val="single" w:sz="4" w:space="0" w:color="C9D3DD"/>
            </w:tcBorders>
            <w:vAlign w:val="center"/>
          </w:tcPr>
          <w:p>
            <w:pPr>
              <w:jc w:val="left"/>
            </w:pPr>
            <w:r/>
            <w:r>
              <w:rPr>
                <w:rFonts w:ascii="Inter" w:hAnsi="Inter"/>
                <w:b w:val="0"/>
                <w:color w:val="0D1B2A"/>
                <w:sz w:val="19"/>
              </w:rPr>
              <w:t>Sprinkler Rough-ins</w:t>
            </w:r>
          </w:p>
        </w:tc>
        <w:tc>
          <w:tcPr>
            <w:tcW w:type="dxa" w:w="1560"/>
            <w:tcBorders>
              <w:bottom w:val="single" w:sz="4" w:space="0" w:color="C9D3DD"/>
            </w:tcBorders>
            <w:vAlign w:val="center"/>
          </w:tcPr>
          <w:p>
            <w:pPr>
              <w:jc w:val="right"/>
            </w:pPr>
            <w:r/>
            <w:r>
              <w:rPr>
                <w:rFonts w:ascii="Consolas" w:hAnsi="Consolas" w:cs="Consolas"/>
                <w:b w:val="0"/>
                <w:color w:val="0D1B2A"/>
                <w:sz w:val="19"/>
              </w:rPr>
              <w:t>2025-10-07</w:t>
            </w:r>
          </w:p>
        </w:tc>
        <w:tc>
          <w:tcPr>
            <w:tcW w:type="dxa" w:w="1560"/>
            <w:tcBorders>
              <w:bottom w:val="single" w:sz="4" w:space="0" w:color="C9D3DD"/>
            </w:tcBorders>
            <w:vAlign w:val="center"/>
          </w:tcPr>
          <w:p>
            <w:pPr>
              <w:jc w:val="right"/>
            </w:pPr>
            <w:r/>
            <w:r>
              <w:rPr>
                <w:rFonts w:ascii="Consolas" w:hAnsi="Consolas" w:cs="Consolas"/>
                <w:b w:val="0"/>
                <w:color w:val="0D1B2A"/>
                <w:sz w:val="19"/>
              </w:rPr>
              <w:t>2026-05-29</w:t>
            </w:r>
          </w:p>
        </w:tc>
        <w:tc>
          <w:tcPr>
            <w:tcW w:type="dxa" w:w="1560"/>
            <w:tcBorders>
              <w:bottom w:val="single" w:sz="4" w:space="0" w:color="C9D3DD"/>
            </w:tcBorders>
            <w:vAlign w:val="center"/>
          </w:tcPr>
          <w:p>
            <w:pPr>
              <w:jc w:val="right"/>
            </w:pPr>
            <w:r/>
            <w:r>
              <w:rPr>
                <w:rFonts w:ascii="Consolas" w:hAnsi="Consolas" w:cs="Consolas"/>
                <w:b/>
                <w:color w:val="C8392F"/>
                <w:sz w:val="19"/>
              </w:rPr>
              <w:t>+162d</w:t>
            </w:r>
          </w:p>
        </w:tc>
        <w:tc>
          <w:tcPr>
            <w:tcW w:type="dxa" w:w="1560"/>
            <w:tcBorders>
              <w:bottom w:val="single" w:sz="4" w:space="0" w:color="C9D3DD"/>
            </w:tcBorders>
            <w:vAlign w:val="center"/>
          </w:tcPr>
          <w:p>
            <w:pPr>
              <w:jc w:val="left"/>
            </w:pPr>
            <w:r/>
            <w:r>
              <w:rPr>
                <w:rFonts w:ascii="Inter" w:hAnsi="Inter"/>
                <w:b/>
                <w:color w:val="1E7A4D"/>
                <w:sz w:val="19"/>
              </w:rPr>
              <w:t>Yes</w:t>
            </w:r>
          </w:p>
        </w:tc>
      </w:tr>
      <w:tr>
        <w:tc>
          <w:tcPr>
            <w:tcW w:type="dxa" w:w="1560"/>
            <w:tcBorders>
              <w:bottom w:val="single" w:sz="4" w:space="0" w:color="C9D3DD"/>
            </w:tcBorders>
            <w:vAlign w:val="center"/>
          </w:tcPr>
          <w:p>
            <w:pPr>
              <w:jc w:val="left"/>
            </w:pPr>
            <w:r/>
            <w:r>
              <w:rPr>
                <w:rFonts w:ascii="Consolas" w:hAnsi="Consolas" w:cs="Consolas"/>
                <w:b/>
                <w:color w:val="0D1B2A"/>
                <w:sz w:val="19"/>
              </w:rPr>
              <w:t>A4060</w:t>
            </w:r>
          </w:p>
        </w:tc>
        <w:tc>
          <w:tcPr>
            <w:tcW w:type="dxa" w:w="1560"/>
            <w:tcBorders>
              <w:bottom w:val="single" w:sz="4" w:space="0" w:color="C9D3DD"/>
            </w:tcBorders>
            <w:vAlign w:val="center"/>
          </w:tcPr>
          <w:p>
            <w:pPr>
              <w:jc w:val="left"/>
            </w:pPr>
            <w:r/>
            <w:r>
              <w:rPr>
                <w:rFonts w:ascii="Inter" w:hAnsi="Inter"/>
                <w:b w:val="0"/>
                <w:color w:val="0D1B2A"/>
                <w:sz w:val="19"/>
              </w:rPr>
              <w:t>Blocking</w:t>
            </w:r>
          </w:p>
        </w:tc>
        <w:tc>
          <w:tcPr>
            <w:tcW w:type="dxa" w:w="1560"/>
            <w:tcBorders>
              <w:bottom w:val="single" w:sz="4" w:space="0" w:color="C9D3DD"/>
            </w:tcBorders>
            <w:vAlign w:val="center"/>
          </w:tcPr>
          <w:p>
            <w:pPr>
              <w:jc w:val="right"/>
            </w:pPr>
            <w:r/>
            <w:r>
              <w:rPr>
                <w:rFonts w:ascii="Consolas" w:hAnsi="Consolas" w:cs="Consolas"/>
                <w:b w:val="0"/>
                <w:color w:val="0D1B2A"/>
                <w:sz w:val="19"/>
              </w:rPr>
              <w:t>2025-10-07</w:t>
            </w:r>
          </w:p>
        </w:tc>
        <w:tc>
          <w:tcPr>
            <w:tcW w:type="dxa" w:w="1560"/>
            <w:tcBorders>
              <w:bottom w:val="single" w:sz="4" w:space="0" w:color="C9D3DD"/>
            </w:tcBorders>
            <w:vAlign w:val="center"/>
          </w:tcPr>
          <w:p>
            <w:pPr>
              <w:jc w:val="right"/>
            </w:pPr>
            <w:r/>
            <w:r>
              <w:rPr>
                <w:rFonts w:ascii="Consolas" w:hAnsi="Consolas" w:cs="Consolas"/>
                <w:b w:val="0"/>
                <w:color w:val="0D1B2A"/>
                <w:sz w:val="19"/>
              </w:rPr>
              <w:t>2026-06-09</w:t>
            </w:r>
          </w:p>
        </w:tc>
        <w:tc>
          <w:tcPr>
            <w:tcW w:type="dxa" w:w="1560"/>
            <w:tcBorders>
              <w:bottom w:val="single" w:sz="4" w:space="0" w:color="C9D3DD"/>
            </w:tcBorders>
            <w:vAlign w:val="center"/>
          </w:tcPr>
          <w:p>
            <w:pPr>
              <w:jc w:val="right"/>
            </w:pPr>
            <w:r/>
            <w:r>
              <w:rPr>
                <w:rFonts w:ascii="Consolas" w:hAnsi="Consolas" w:cs="Consolas"/>
                <w:b/>
                <w:color w:val="C8392F"/>
                <w:sz w:val="19"/>
              </w:rPr>
              <w:t>+169d</w:t>
            </w:r>
          </w:p>
        </w:tc>
        <w:tc>
          <w:tcPr>
            <w:tcW w:type="dxa" w:w="1560"/>
            <w:tcBorders>
              <w:bottom w:val="single" w:sz="4" w:space="0" w:color="C9D3DD"/>
            </w:tcBorders>
            <w:vAlign w:val="center"/>
          </w:tcPr>
          <w:p>
            <w:pPr>
              <w:jc w:val="left"/>
            </w:pPr>
            <w:r/>
            <w:r>
              <w:rPr>
                <w:rFonts w:ascii="Inter" w:hAnsi="Inter"/>
                <w:b/>
                <w:color w:val="1E7A4D"/>
                <w:sz w:val="19"/>
              </w:rPr>
              <w:t>Yes</w:t>
            </w:r>
          </w:p>
        </w:tc>
      </w:tr>
      <w:tr>
        <w:tc>
          <w:tcPr>
            <w:tcW w:type="dxa" w:w="1560"/>
            <w:tcBorders>
              <w:bottom w:val="single" w:sz="4" w:space="0" w:color="C9D3DD"/>
            </w:tcBorders>
            <w:vAlign w:val="center"/>
          </w:tcPr>
          <w:p>
            <w:pPr>
              <w:jc w:val="left"/>
            </w:pPr>
            <w:r/>
            <w:r>
              <w:rPr>
                <w:rFonts w:ascii="Consolas" w:hAnsi="Consolas" w:cs="Consolas"/>
                <w:b/>
                <w:color w:val="0D1B2A"/>
                <w:sz w:val="19"/>
              </w:rPr>
              <w:t>A4070</w:t>
            </w:r>
          </w:p>
        </w:tc>
        <w:tc>
          <w:tcPr>
            <w:tcW w:type="dxa" w:w="1560"/>
            <w:tcBorders>
              <w:bottom w:val="single" w:sz="4" w:space="0" w:color="C9D3DD"/>
            </w:tcBorders>
            <w:vAlign w:val="center"/>
          </w:tcPr>
          <w:p>
            <w:pPr>
              <w:jc w:val="left"/>
            </w:pPr>
            <w:r/>
            <w:r>
              <w:rPr>
                <w:rFonts w:ascii="Inter" w:hAnsi="Inter"/>
                <w:b w:val="0"/>
                <w:color w:val="0D1B2A"/>
                <w:sz w:val="19"/>
              </w:rPr>
              <w:t>Frames installation</w:t>
            </w:r>
          </w:p>
        </w:tc>
        <w:tc>
          <w:tcPr>
            <w:tcW w:type="dxa" w:w="1560"/>
            <w:tcBorders>
              <w:bottom w:val="single" w:sz="4" w:space="0" w:color="C9D3DD"/>
            </w:tcBorders>
            <w:vAlign w:val="center"/>
          </w:tcPr>
          <w:p>
            <w:pPr>
              <w:jc w:val="right"/>
            </w:pPr>
            <w:r/>
            <w:r>
              <w:rPr>
                <w:rFonts w:ascii="Consolas" w:hAnsi="Consolas" w:cs="Consolas"/>
                <w:b w:val="0"/>
                <w:color w:val="0D1B2A"/>
                <w:sz w:val="19"/>
              </w:rPr>
              <w:t>2025-09-30</w:t>
            </w:r>
          </w:p>
        </w:tc>
        <w:tc>
          <w:tcPr>
            <w:tcW w:type="dxa" w:w="1560"/>
            <w:tcBorders>
              <w:bottom w:val="single" w:sz="4" w:space="0" w:color="C9D3DD"/>
            </w:tcBorders>
            <w:vAlign w:val="center"/>
          </w:tcPr>
          <w:p>
            <w:pPr>
              <w:jc w:val="right"/>
            </w:pPr>
            <w:r/>
            <w:r>
              <w:rPr>
                <w:rFonts w:ascii="Consolas" w:hAnsi="Consolas" w:cs="Consolas"/>
                <w:b w:val="0"/>
                <w:color w:val="0D1B2A"/>
                <w:sz w:val="19"/>
              </w:rPr>
              <w:t>2026-06-19</w:t>
            </w:r>
          </w:p>
        </w:tc>
        <w:tc>
          <w:tcPr>
            <w:tcW w:type="dxa" w:w="1560"/>
            <w:tcBorders>
              <w:bottom w:val="single" w:sz="4" w:space="0" w:color="C9D3DD"/>
            </w:tcBorders>
            <w:vAlign w:val="center"/>
          </w:tcPr>
          <w:p>
            <w:pPr>
              <w:jc w:val="right"/>
            </w:pPr>
            <w:r/>
            <w:r>
              <w:rPr>
                <w:rFonts w:ascii="Consolas" w:hAnsi="Consolas" w:cs="Consolas"/>
                <w:b/>
                <w:color w:val="C8392F"/>
                <w:sz w:val="19"/>
              </w:rPr>
              <w:t>+182d</w:t>
            </w:r>
          </w:p>
        </w:tc>
        <w:tc>
          <w:tcPr>
            <w:tcW w:type="dxa" w:w="1560"/>
            <w:tcBorders>
              <w:bottom w:val="single" w:sz="4" w:space="0" w:color="C9D3DD"/>
            </w:tcBorders>
            <w:vAlign w:val="center"/>
          </w:tcPr>
          <w:p>
            <w:pPr>
              <w:jc w:val="left"/>
            </w:pPr>
            <w:r/>
            <w:r>
              <w:rPr>
                <w:rFonts w:ascii="Inter" w:hAnsi="Inter"/>
                <w:b/>
                <w:color w:val="1E7A4D"/>
                <w:sz w:val="19"/>
              </w:rPr>
              <w:t>Yes</w:t>
            </w:r>
          </w:p>
        </w:tc>
      </w:tr>
    </w:tbl>
    <w:p>
      <w:pPr>
        <w:spacing w:after="40"/>
      </w:pPr>
    </w:p>
    <w:p>
      <w:r>
        <w:rPr>
          <w:rFonts w:ascii="Inter" w:hAnsi="Inter"/>
          <w:b w:val="0"/>
          <w:color w:val="0D1B2A"/>
          <w:sz w:val="21"/>
        </w:rPr>
        <w:t>In the baseline, A3240 (Fire Spraying and Intumescent Paint) runs 18-Feb-2026 to 25-Feb-2026 and releases the interior fit-out chain A4030 through A4070 to the completion milestone A4250. The staged-witnessing restriction adds 9 working days to A3240, and in the update its forecast finish moves to 18-Mar-2026. The windows analysis shows the completion milestone moving with this chain: of the 21 working days of completion slip in the window, 9 working days follow this event and are attributed to the Owner. The remaining 12 working days on the same chain arise from contractor remobilization, trade stacking and deficiency re-work, are attributed to the Contractor in the analysis, and are not claimed.</w:t>
      </w:r>
    </w:p>
    <w:p>
      <w:pPr>
        <w:keepNext/>
        <w:spacing w:before="320" w:after="120"/>
        <w:pBdr>
          <w:bottom w:val="single" w:sz="6" w:space="4" w:color="C9D3DD"/>
        </w:pBdr>
      </w:pPr>
      <w:r>
        <w:rPr>
          <w:rFonts w:ascii="Inter" w:hAnsi="Inter"/>
          <w:b/>
          <w:color w:val="C8392F"/>
          <w:sz w:val="18"/>
        </w:rPr>
        <w:t>B-05</w:t>
      </w:r>
      <w:r>
        <w:t xml:space="preserve">   </w:t>
      </w:r>
      <w:r>
        <w:rPr>
          <w:rFonts w:ascii="Inter" w:hAnsi="Inter"/>
          <w:b/>
          <w:color w:val="0D1B2A"/>
          <w:sz w:val="27"/>
        </w:rPr>
        <w:t>Criticality Confirmation</w:t>
      </w:r>
    </w:p>
    <w:p>
      <w:r>
        <w:rPr>
          <w:rFonts w:ascii="Inter" w:hAnsi="Inter"/>
          <w:b w:val="0"/>
          <w:color w:val="0D1B2A"/>
          <w:sz w:val="21"/>
        </w:rPr>
        <w:t>A3240 drives the interior fit-out chain (A4030 through A4070) to the completion milestone A4250 in both the baseline and the current update; the windows analysis shows the completion milestone moving with this chain.</w:t>
      </w:r>
    </w:p>
    <w:p>
      <w:pPr>
        <w:keepNext/>
        <w:spacing w:before="320" w:after="120"/>
        <w:pBdr>
          <w:bottom w:val="single" w:sz="6" w:space="4" w:color="C9D3DD"/>
        </w:pBdr>
      </w:pPr>
      <w:r>
        <w:rPr>
          <w:rFonts w:ascii="Inter" w:hAnsi="Inter"/>
          <w:b/>
          <w:color w:val="C8392F"/>
          <w:sz w:val="18"/>
        </w:rPr>
        <w:t>B-06</w:t>
      </w:r>
      <w:r>
        <w:t xml:space="preserve">   </w:t>
      </w:r>
      <w:r>
        <w:rPr>
          <w:rFonts w:ascii="Inter" w:hAnsi="Inter"/>
          <w:b/>
          <w:color w:val="0D1B2A"/>
          <w:sz w:val="27"/>
        </w:rPr>
        <w:t>Entitlement Position</w:t>
      </w:r>
    </w:p>
    <w:tbl>
      <w:tblPr>
        <w:tblW w:type="auto" w:w="0"/>
        <w:jc w:val="center"/>
        <w:tblLook w:firstColumn="1" w:firstRow="1" w:lastColumn="0" w:lastRow="0" w:noHBand="0" w:noVBand="1" w:val="04A0"/>
        <w:tblLayout w:type="fixed"/>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9360"/>
      </w:tblGrid>
      <w:tr>
        <w:tc>
          <w:tcPr>
            <w:tcW w:type="dxa" w:w="9360"/>
            <w:tcBorders>
              <w:left w:val="single" w:sz="18" w:space="6" w:color="B7791F"/>
            </w:tcBorders>
          </w:tcPr>
          <w:p>
            <w:r/>
            <w:r>
              <w:rPr>
                <w:rFonts w:ascii="Inter" w:hAnsi="Inter"/>
                <w:b/>
                <w:color w:val="B7791F"/>
                <w:sz w:val="17"/>
              </w:rPr>
              <w:t xml:space="preserve">Warn   </w:t>
            </w:r>
            <w:r>
              <w:rPr>
                <w:rFonts w:ascii="Inter" w:hAnsi="Inter"/>
                <w:color w:val="0D1B2A"/>
                <w:sz w:val="20"/>
              </w:rPr>
              <w:t>Northgate Constructors claims an extension of time of 9 working days for this delay event.</w:t>
            </w:r>
          </w:p>
        </w:tc>
      </w:tr>
    </w:tbl>
    <w:p>
      <w:pPr>
        <w:spacing w:after="40"/>
      </w:pPr>
    </w:p>
    <w:p>
      <w:r>
        <w:rPr>
          <w:rFonts w:ascii="Inter" w:hAnsi="Inter"/>
          <w:b w:val="0"/>
          <w:color w:val="0F2540"/>
          <w:sz w:val="21"/>
        </w:rPr>
        <w:t>Per contract clause(s): GC 6.5.1 (delay by the Owner or the Consultant).</w:t>
      </w:r>
    </w:p>
    <w:sectPr w:rsidR="00FC693F" w:rsidRPr="0006063C" w:rsidSect="00034616">
      <w:footerReference w:type="default" r:id="rId9"/>
      <w:pgSz w:w="12240" w:h="15840"/>
      <w:pgMar w:top="1296" w:right="1440" w:bottom="115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left"/>
      <w:pBdr>
        <w:top w:val="single" w:sz="6" w:space="4" w:color="C9D3DD"/>
      </w:pBdr>
    </w:pPr>
    <w:r/>
    <w:r>
      <w:rPr>
        <w:rFonts w:ascii="Inter" w:hAnsi="Inter"/>
        <w:color w:val="33455A"/>
        <w:sz w:val="15"/>
      </w:rPr>
      <w:t xml:space="preserve">Source </w:t>
    </w:r>
    <w:r>
      <w:rPr>
        <w:rFonts w:ascii="Inter" w:hAnsi="Inter"/>
        <w:b/>
        <w:color w:val="0D1B2A"/>
        <w:sz w:val="15"/>
      </w:rPr>
      <w:t>CCDC 2 - 2020, Contract No. OCC-B2-2025 (Demo Data)</w:t>
    </w:r>
    <w:r>
      <w:rPr>
        <w:rFonts w:ascii="Inter" w:hAnsi="Inter"/>
        <w:color w:val="33455A"/>
        <w:sz w:val="15"/>
      </w:rPr>
      <w:t xml:space="preserve">  ·  </w:t>
    </w:r>
    <w:r>
      <w:rPr>
        <w:rFonts w:ascii="Inter" w:hAnsi="Inter"/>
        <w:color w:val="33455A"/>
        <w:sz w:val="15"/>
      </w:rPr>
      <w:t xml:space="preserve">Engine </w:t>
    </w:r>
    <w:r>
      <w:rPr>
        <w:rFonts w:ascii="Consolas" w:hAnsi="Consolas"/>
        <w:b/>
        <w:color w:val="0D1B2A"/>
        <w:sz w:val="15"/>
      </w:rPr>
      <w:t>CPP claims-preparation · CPP cpm-engine v2.9.42</w:t>
    </w:r>
  </w:p>
  <w:p>
    <w:pPr>
      <w:spacing w:before="0"/>
    </w:pPr>
    <w:r>
      <w:rPr>
        <w:rFonts w:ascii="Inter" w:hAnsi="Inter"/>
        <w:color w:val="33455A"/>
        <w:sz w:val="15"/>
      </w:rPr>
      <w:t>Reproducible · every figure traceable to source</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88" w:lineRule="auto"/>
    </w:pPr>
    <w:rPr>
      <w:rFonts w:ascii="Inter" w:hAnsi="Inter"/>
      <w:color w:val="0D1B2A"/>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80" w:after="80"/>
      <w:outlineLvl w:val="0"/>
    </w:pPr>
    <w:rPr>
      <w:rFonts w:asciiTheme="majorHAnsi" w:eastAsiaTheme="majorEastAsia" w:hAnsiTheme="majorHAnsi" w:cstheme="majorBidi" w:ascii="Inter" w:hAnsi="Inter"/>
      <w:b/>
      <w:bCs/>
      <w:color w:val="0D1B2A"/>
      <w:sz w:val="44"/>
      <w:szCs w:val="28"/>
    </w:rPr>
  </w:style>
  <w:style w:type="paragraph" w:styleId="Heading2">
    <w:name w:val="heading 2"/>
    <w:basedOn w:val="Normal"/>
    <w:next w:val="Normal"/>
    <w:link w:val="Heading2Char"/>
    <w:uiPriority w:val="9"/>
    <w:unhideWhenUsed/>
    <w:qFormat/>
    <w:rsid w:val="00FC693F"/>
    <w:pPr>
      <w:keepNext/>
      <w:keepLines/>
      <w:spacing w:before="280" w:after="120"/>
      <w:outlineLvl w:val="1"/>
    </w:pPr>
    <w:rPr>
      <w:rFonts w:asciiTheme="majorHAnsi" w:eastAsiaTheme="majorEastAsia" w:hAnsiTheme="majorHAnsi" w:cstheme="majorBidi" w:ascii="Inter" w:hAnsi="Inter"/>
      <w:b/>
      <w:bCs/>
      <w:color w:val="0D1B2A"/>
      <w:sz w:val="28"/>
      <w:szCs w:val="26"/>
    </w:rPr>
  </w:style>
  <w:style w:type="paragraph" w:styleId="Heading3">
    <w:name w:val="heading 3"/>
    <w:basedOn w:val="Normal"/>
    <w:next w:val="Normal"/>
    <w:link w:val="Heading3Char"/>
    <w:uiPriority w:val="9"/>
    <w:unhideWhenUsed/>
    <w:qFormat/>
    <w:rsid w:val="00FC693F"/>
    <w:pPr>
      <w:keepNext/>
      <w:keepLines/>
      <w:spacing w:before="200" w:after="80"/>
      <w:outlineLvl w:val="2"/>
    </w:pPr>
    <w:rPr>
      <w:rFonts w:asciiTheme="majorHAnsi" w:eastAsiaTheme="majorEastAsia" w:hAnsiTheme="majorHAnsi" w:cstheme="majorBidi" w:ascii="Inter" w:hAnsi="Inter"/>
      <w:b/>
      <w:bCs/>
      <w:color w:val="0F2540"/>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Inter" w:hAnsi="Inter"/>
      <w:b/>
      <w:color w:val="0D1B2A"/>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CPPMono">
    <w:name w:val="CPP Mono"/>
    <w:rPr>
      <w:rFonts w:ascii="Consolas" w:hAnsi="Consolas" w:cs="Consolas"/>
      <w:color w:val="0D1B2A"/>
      <w:sz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